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73D1" w:rsidRDefault="004C093A">
      <w:pPr>
        <w:rPr>
          <w:sz w:val="24"/>
          <w:szCs w:val="24"/>
        </w:rPr>
      </w:pPr>
      <w:r w:rsidRPr="004C093A">
        <w:rPr>
          <w:sz w:val="24"/>
          <w:szCs w:val="24"/>
        </w:rPr>
        <w:t>Arkivsak-dok.</w:t>
      </w:r>
      <w:r w:rsidRPr="004C093A">
        <w:rPr>
          <w:sz w:val="24"/>
          <w:szCs w:val="24"/>
        </w:rPr>
        <w:tab/>
      </w:r>
      <w:r>
        <w:rPr>
          <w:sz w:val="24"/>
          <w:szCs w:val="24"/>
        </w:rPr>
        <w:tab/>
      </w:r>
      <w:r w:rsidR="00FB15F3">
        <w:rPr>
          <w:sz w:val="24"/>
          <w:szCs w:val="24"/>
        </w:rPr>
        <w:t>115 - 15</w:t>
      </w:r>
      <w:r w:rsidR="00720FD8">
        <w:rPr>
          <w:sz w:val="24"/>
          <w:szCs w:val="24"/>
        </w:rPr>
        <w:tab/>
      </w:r>
      <w:r w:rsidR="00B30221">
        <w:rPr>
          <w:sz w:val="24"/>
          <w:szCs w:val="24"/>
        </w:rPr>
        <w:tab/>
      </w:r>
      <w:r>
        <w:rPr>
          <w:sz w:val="24"/>
          <w:szCs w:val="24"/>
        </w:rPr>
        <w:tab/>
      </w:r>
      <w:r>
        <w:rPr>
          <w:sz w:val="24"/>
          <w:szCs w:val="24"/>
        </w:rPr>
        <w:tab/>
      </w:r>
      <w:r>
        <w:rPr>
          <w:sz w:val="24"/>
          <w:szCs w:val="24"/>
        </w:rPr>
        <w:tab/>
      </w:r>
      <w:r>
        <w:rPr>
          <w:sz w:val="24"/>
          <w:szCs w:val="24"/>
        </w:rPr>
        <w:tab/>
      </w:r>
      <w:r w:rsidR="00265A6A">
        <w:rPr>
          <w:rFonts w:eastAsia="Times New Roman"/>
          <w:noProof/>
        </w:rPr>
        <w:drawing>
          <wp:inline distT="0" distB="0" distL="0" distR="0">
            <wp:extent cx="1057275" cy="866775"/>
            <wp:effectExtent l="0" t="0" r="9525" b="9525"/>
            <wp:docPr id="1" name="Bilde 1" descr="cid:378529b0-c7b2-4dce-a8f3-df319b94f56e@sandnes.kommune.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378529b0-c7b2-4dce-a8f3-df319b94f56e@sandnes.kommune.no"/>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057275" cy="866775"/>
                    </a:xfrm>
                    <a:prstGeom prst="rect">
                      <a:avLst/>
                    </a:prstGeom>
                    <a:noFill/>
                    <a:ln>
                      <a:noFill/>
                    </a:ln>
                  </pic:spPr>
                </pic:pic>
              </a:graphicData>
            </a:graphic>
          </wp:inline>
        </w:drawing>
      </w:r>
    </w:p>
    <w:p w:rsidR="00B30221" w:rsidRDefault="004C093A">
      <w:pPr>
        <w:rPr>
          <w:sz w:val="24"/>
          <w:szCs w:val="24"/>
        </w:rPr>
      </w:pPr>
      <w:r>
        <w:rPr>
          <w:sz w:val="24"/>
          <w:szCs w:val="24"/>
        </w:rPr>
        <w:t>Saksbehandler:</w:t>
      </w:r>
      <w:r>
        <w:rPr>
          <w:sz w:val="24"/>
          <w:szCs w:val="24"/>
        </w:rPr>
        <w:tab/>
      </w:r>
      <w:r w:rsidR="00FB15F3">
        <w:rPr>
          <w:sz w:val="24"/>
          <w:szCs w:val="24"/>
        </w:rPr>
        <w:t>Guri Årtun</w:t>
      </w:r>
    </w:p>
    <w:p w:rsidR="009873D1" w:rsidRDefault="009873D1">
      <w:pPr>
        <w:rPr>
          <w:sz w:val="24"/>
          <w:szCs w:val="24"/>
        </w:rPr>
      </w:pPr>
      <w:bookmarkStart w:id="0" w:name="_GoBack"/>
      <w:bookmarkEnd w:id="0"/>
    </w:p>
    <w:p w:rsidR="004C093A" w:rsidRPr="004C093A" w:rsidRDefault="004C093A" w:rsidP="004C093A">
      <w:pPr>
        <w:rPr>
          <w:sz w:val="24"/>
          <w:szCs w:val="24"/>
        </w:rPr>
      </w:pPr>
      <w:r>
        <w:rPr>
          <w:sz w:val="24"/>
          <w:szCs w:val="24"/>
        </w:rPr>
        <w:t>Behandles av:</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B30CC1">
        <w:rPr>
          <w:sz w:val="24"/>
          <w:szCs w:val="24"/>
        </w:rPr>
        <w:tab/>
      </w:r>
      <w:r>
        <w:rPr>
          <w:sz w:val="24"/>
          <w:szCs w:val="24"/>
        </w:rPr>
        <w:t>Møtedato:</w:t>
      </w:r>
      <w:r w:rsidR="009435FB">
        <w:rPr>
          <w:sz w:val="24"/>
          <w:szCs w:val="24"/>
        </w:rPr>
        <w:tab/>
      </w:r>
    </w:p>
    <w:p w:rsidR="004E0F9A" w:rsidRDefault="004C093A">
      <w:pPr>
        <w:rPr>
          <w:sz w:val="24"/>
          <w:szCs w:val="24"/>
        </w:rPr>
      </w:pPr>
      <w:r>
        <w:rPr>
          <w:sz w:val="24"/>
          <w:szCs w:val="24"/>
        </w:rPr>
        <w:t>Sandnes Eiendomsselskap KF</w:t>
      </w:r>
      <w:r>
        <w:rPr>
          <w:sz w:val="24"/>
          <w:szCs w:val="24"/>
        </w:rPr>
        <w:tab/>
      </w:r>
      <w:r>
        <w:rPr>
          <w:sz w:val="24"/>
          <w:szCs w:val="24"/>
        </w:rPr>
        <w:tab/>
      </w:r>
      <w:r>
        <w:rPr>
          <w:sz w:val="24"/>
          <w:szCs w:val="24"/>
        </w:rPr>
        <w:tab/>
      </w:r>
      <w:r>
        <w:rPr>
          <w:sz w:val="24"/>
          <w:szCs w:val="24"/>
        </w:rPr>
        <w:tab/>
      </w:r>
      <w:r w:rsidR="00B30CC1">
        <w:rPr>
          <w:sz w:val="24"/>
          <w:szCs w:val="24"/>
        </w:rPr>
        <w:tab/>
      </w:r>
      <w:r w:rsidR="00DA1F37">
        <w:rPr>
          <w:sz w:val="24"/>
          <w:szCs w:val="24"/>
        </w:rPr>
        <w:t>20.08.2015</w:t>
      </w:r>
    </w:p>
    <w:p w:rsidR="00425C04" w:rsidRDefault="00425C04">
      <w:pPr>
        <w:rPr>
          <w:b/>
          <w:sz w:val="28"/>
          <w:szCs w:val="28"/>
          <w:u w:val="single"/>
        </w:rPr>
      </w:pPr>
    </w:p>
    <w:p w:rsidR="00720FD8" w:rsidRPr="00425C04" w:rsidRDefault="009D4813">
      <w:pPr>
        <w:rPr>
          <w:b/>
          <w:sz w:val="28"/>
          <w:szCs w:val="28"/>
          <w:u w:val="single"/>
        </w:rPr>
      </w:pPr>
      <w:r>
        <w:rPr>
          <w:b/>
          <w:sz w:val="28"/>
          <w:szCs w:val="28"/>
          <w:u w:val="single"/>
        </w:rPr>
        <w:t>Økonomirapport pr. juli 2015</w:t>
      </w:r>
    </w:p>
    <w:p w:rsidR="00720FD8" w:rsidRDefault="00720FD8">
      <w:pPr>
        <w:rPr>
          <w:b/>
          <w:sz w:val="28"/>
          <w:szCs w:val="28"/>
          <w:u w:val="single"/>
        </w:rPr>
      </w:pPr>
    </w:p>
    <w:p w:rsidR="00B107B7" w:rsidRDefault="00265A6A">
      <w:pPr>
        <w:rPr>
          <w:sz w:val="28"/>
          <w:szCs w:val="28"/>
        </w:rPr>
      </w:pPr>
      <w:r>
        <w:rPr>
          <w:b/>
          <w:sz w:val="28"/>
          <w:szCs w:val="28"/>
          <w:u w:val="single"/>
        </w:rPr>
        <w:t>Bakgrunn for saken:</w:t>
      </w:r>
    </w:p>
    <w:p w:rsidR="00B30221" w:rsidRDefault="009D4813" w:rsidP="00B30221">
      <w:r>
        <w:t>Økonomisk status pr juli 2015 for selskapet</w:t>
      </w:r>
    </w:p>
    <w:p w:rsidR="00720FD8" w:rsidRPr="00720FD8" w:rsidRDefault="00265A6A" w:rsidP="00B30221">
      <w:pPr>
        <w:rPr>
          <w:b/>
          <w:sz w:val="28"/>
          <w:szCs w:val="28"/>
          <w:u w:val="single"/>
        </w:rPr>
      </w:pPr>
      <w:r>
        <w:rPr>
          <w:b/>
          <w:sz w:val="28"/>
          <w:szCs w:val="28"/>
          <w:u w:val="single"/>
        </w:rPr>
        <w:t>Saksopplysninger:</w:t>
      </w:r>
    </w:p>
    <w:p w:rsidR="009D4813" w:rsidRDefault="009D4813" w:rsidP="009D4813">
      <w:r w:rsidRPr="00D9076A">
        <w:rPr>
          <w:noProof/>
        </w:rPr>
        <w:drawing>
          <wp:inline distT="0" distB="0" distL="0" distR="0" wp14:anchorId="52F6AAD7" wp14:editId="5C04D943">
            <wp:extent cx="5362575" cy="1628775"/>
            <wp:effectExtent l="0" t="0" r="9525" b="9525"/>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62575" cy="1628775"/>
                    </a:xfrm>
                    <a:prstGeom prst="rect">
                      <a:avLst/>
                    </a:prstGeom>
                    <a:noFill/>
                    <a:ln>
                      <a:noFill/>
                    </a:ln>
                  </pic:spPr>
                </pic:pic>
              </a:graphicData>
            </a:graphic>
          </wp:inline>
        </w:drawing>
      </w:r>
    </w:p>
    <w:p w:rsidR="009D4813" w:rsidRDefault="009D4813" w:rsidP="009D4813">
      <w:r>
        <w:t>Oversikten viser at eiendom har ett merforbruk på til sammen kr 2 millioner per juli 2015.</w:t>
      </w:r>
    </w:p>
    <w:p w:rsidR="009D4813" w:rsidRDefault="009D4813" w:rsidP="009D4813"/>
    <w:p w:rsidR="00720FD8" w:rsidRPr="00720FD8" w:rsidRDefault="00720FD8" w:rsidP="00B30221">
      <w:pPr>
        <w:rPr>
          <w:b/>
          <w:sz w:val="28"/>
          <w:szCs w:val="28"/>
          <w:u w:val="single"/>
        </w:rPr>
      </w:pPr>
      <w:r w:rsidRPr="00720FD8">
        <w:rPr>
          <w:b/>
          <w:sz w:val="28"/>
          <w:szCs w:val="28"/>
          <w:u w:val="single"/>
        </w:rPr>
        <w:t>Vurderinger:</w:t>
      </w:r>
    </w:p>
    <w:p w:rsidR="009D4813" w:rsidRPr="009D4813" w:rsidRDefault="009D4813" w:rsidP="009D4813">
      <w:pPr>
        <w:rPr>
          <w:b/>
        </w:rPr>
      </w:pPr>
      <w:r w:rsidRPr="009D4813">
        <w:rPr>
          <w:b/>
        </w:rPr>
        <w:t>Ansvar 10-19+86</w:t>
      </w:r>
    </w:p>
    <w:p w:rsidR="009D4813" w:rsidRDefault="009D4813" w:rsidP="009D4813">
      <w:r>
        <w:t xml:space="preserve">Kostnader til drift og vedlikehold føres under disse ansvarene. Vedlikeholdsbudsjettet er stramt og det føres streng kontroll med bestillinger og føringer. Ved utgangen av mai hadde ansvaret et registrert merforbruk på 4 millioner. Dette er nå redusert til under 1 million som følge av tilleggsbevilgning på kr 3 millioner i bsak 63/15 til vedlikehold av kommunale boliger. Det er imidlertid behov for å fortsette den strenge budsjettkontrollen. </w:t>
      </w:r>
    </w:p>
    <w:p w:rsidR="009D4813" w:rsidRDefault="009D4813" w:rsidP="009D4813">
      <w:r>
        <w:lastRenderedPageBreak/>
        <w:t xml:space="preserve">En del av det opprinnelige vedlikeholdsbudsjettet er omfordelt til andre områder innen foretaket, for å </w:t>
      </w:r>
      <w:r w:rsidR="00954FF1">
        <w:t xml:space="preserve">gjenspeile </w:t>
      </w:r>
      <w:r>
        <w:t xml:space="preserve">organiseringen. Om en ser på for eksempel ansvar 70 som er utviklingsavdelingen i foretaket, går dette per i dag nesten i balanse. Det er imidlertid overført kr 3 millioner fra vedlikehold til utredning og utredningsmidlene er nesten ikke brukt, men det er merforbruk på de eksterne husleiene. Det bør vurderes å budsjettjustere kr 3 millioner tilbake til vedlikeholdsbudsjettet selv om ansvar 70 da vil vise et merforbruk. I og med at dette er et reelt merforbruk </w:t>
      </w:r>
      <w:r w:rsidR="00954FF1">
        <w:t>vil</w:t>
      </w:r>
      <w:r>
        <w:t xml:space="preserve"> dette gi et mer korrekt bilde av eiendom sin budsjettsituasjon. Videre budsjetteres det nå med en del utredningsmidler i forbindelse med investeringsprosjektene slik at kr 3 millioner i utredningsmidler kanskje ikke vil være nødvendig til senere års budsjetter.</w:t>
      </w:r>
    </w:p>
    <w:p w:rsidR="009D4813" w:rsidRPr="009D4813" w:rsidRDefault="009D4813" w:rsidP="009D4813">
      <w:pPr>
        <w:rPr>
          <w:b/>
        </w:rPr>
      </w:pPr>
      <w:r w:rsidRPr="009D4813">
        <w:rPr>
          <w:b/>
        </w:rPr>
        <w:t>Ansvar 20</w:t>
      </w:r>
    </w:p>
    <w:p w:rsidR="009D4813" w:rsidRDefault="009D4813" w:rsidP="009D4813">
      <w:r>
        <w:t>Mindreforbruk per i dag, men dette vil trolig jevne seg ut i løpet av året i og med at teknisk styrer etter det avtalte årsbudsjettbeløpet.</w:t>
      </w:r>
    </w:p>
    <w:p w:rsidR="009D4813" w:rsidRPr="009D4813" w:rsidRDefault="009D4813" w:rsidP="009D4813">
      <w:pPr>
        <w:rPr>
          <w:b/>
        </w:rPr>
      </w:pPr>
      <w:r w:rsidRPr="009D4813">
        <w:rPr>
          <w:b/>
        </w:rPr>
        <w:t>Ansvar 30</w:t>
      </w:r>
    </w:p>
    <w:p w:rsidR="009D4813" w:rsidRDefault="009D4813" w:rsidP="009D4813">
      <w:r>
        <w:t xml:space="preserve">Kostnader som føres på ansvar 30 skal fordeles på pågående investeringsprosjekter da dette er kostnader som påløpet som direkte følge av arbeidet med investeringsprosjekter. </w:t>
      </w:r>
    </w:p>
    <w:p w:rsidR="009D4813" w:rsidRPr="009D4813" w:rsidRDefault="009D4813" w:rsidP="009D4813">
      <w:pPr>
        <w:rPr>
          <w:b/>
        </w:rPr>
      </w:pPr>
      <w:r w:rsidRPr="009D4813">
        <w:rPr>
          <w:b/>
        </w:rPr>
        <w:t>Ansvar 40</w:t>
      </w:r>
    </w:p>
    <w:p w:rsidR="009D4813" w:rsidRDefault="009D4813" w:rsidP="009D4813">
      <w:r>
        <w:t>Lite mindreforbruk per i dag. Ansvaret vil gå i balanse ved årsslutt.</w:t>
      </w:r>
    </w:p>
    <w:p w:rsidR="009D4813" w:rsidRPr="009D4813" w:rsidRDefault="009D4813" w:rsidP="009D4813">
      <w:pPr>
        <w:rPr>
          <w:b/>
        </w:rPr>
      </w:pPr>
      <w:r w:rsidRPr="009D4813">
        <w:rPr>
          <w:b/>
        </w:rPr>
        <w:t>Ansvar 50</w:t>
      </w:r>
    </w:p>
    <w:p w:rsidR="009D4813" w:rsidRDefault="009D4813" w:rsidP="009D4813">
      <w:r>
        <w:t>I balanse da det her kun ligger faste månedlige overføringer</w:t>
      </w:r>
    </w:p>
    <w:p w:rsidR="009D4813" w:rsidRPr="009D4813" w:rsidRDefault="009D4813" w:rsidP="009D4813">
      <w:pPr>
        <w:rPr>
          <w:b/>
        </w:rPr>
      </w:pPr>
      <w:r w:rsidRPr="009D4813">
        <w:rPr>
          <w:b/>
        </w:rPr>
        <w:t>Ansvar 70</w:t>
      </w:r>
    </w:p>
    <w:p w:rsidR="009D4813" w:rsidRDefault="009D4813" w:rsidP="009D4813">
      <w:r>
        <w:t>Ansvaret går i balanse på grunn av mer innkommet husleieinntekt enn budsjettert, om lag kr 4 millioner. I tillegg er det brukt lite av de 3 millionene som er budsjettert til konsulenttjenester for utredning, om lag kr 60 000. Det er imidlertid merforbruk på eksterne husleier</w:t>
      </w:r>
      <w:r w:rsidR="00954FF1">
        <w:t xml:space="preserve"> på </w:t>
      </w:r>
      <w:r>
        <w:t>kr 6,4 millioner per juli.</w:t>
      </w:r>
    </w:p>
    <w:p w:rsidR="009D4813" w:rsidRPr="009D4813" w:rsidRDefault="009D4813" w:rsidP="009D4813">
      <w:pPr>
        <w:rPr>
          <w:b/>
        </w:rPr>
      </w:pPr>
      <w:r w:rsidRPr="009D4813">
        <w:rPr>
          <w:b/>
        </w:rPr>
        <w:t>Ansvar 80</w:t>
      </w:r>
    </w:p>
    <w:p w:rsidR="009D4813" w:rsidRDefault="009D4813" w:rsidP="009D4813">
      <w:r>
        <w:t>Merforbruk som følge av oppstart i nye kontorlokaler og kjøp av inventar og utstyr til dette.</w:t>
      </w:r>
    </w:p>
    <w:p w:rsidR="009D4813" w:rsidRPr="009D4813" w:rsidRDefault="009D4813" w:rsidP="009D4813">
      <w:pPr>
        <w:rPr>
          <w:b/>
        </w:rPr>
      </w:pPr>
      <w:r w:rsidRPr="009D4813">
        <w:rPr>
          <w:b/>
        </w:rPr>
        <w:t>Ansvar 90</w:t>
      </w:r>
    </w:p>
    <w:p w:rsidR="009D4813" w:rsidRDefault="009D4813" w:rsidP="009D4813">
      <w:r>
        <w:t>Energikostnadene er budsjettert som i 2014, men det ligger inne en god del innsparinger her i 2015, i forhold til investeringer innen ENØK. Det ligger også inne tilbakeføring av strøm i form av frikraftavt</w:t>
      </w:r>
      <w:r w:rsidR="00954FF1">
        <w:t>a</w:t>
      </w:r>
      <w:r>
        <w:t>len. Beløpet mottatt for frikraftavtalen for årets første måneder er tilnærmet likt i 2015 som i 2014. I 2014 var totalt budsjett for frikraft kr 4 millioner i 2015 er det 4,5 millioner. Resultatet i 2014 viste at det kom inn kr 3,6 millioner fra avtalen. Det foretas nå en gjennomgang av energibudsjettet og de innsparingene som ligger her</w:t>
      </w:r>
      <w:r w:rsidR="00954FF1">
        <w:t>.</w:t>
      </w:r>
      <w:r>
        <w:t xml:space="preserve"> </w:t>
      </w:r>
    </w:p>
    <w:p w:rsidR="00720FD8" w:rsidRPr="00720FD8" w:rsidRDefault="00720FD8" w:rsidP="00B30221">
      <w:pPr>
        <w:rPr>
          <w:b/>
          <w:sz w:val="28"/>
          <w:szCs w:val="28"/>
          <w:u w:val="single"/>
        </w:rPr>
      </w:pPr>
    </w:p>
    <w:p w:rsidR="00720FD8" w:rsidRPr="00720FD8" w:rsidRDefault="00720FD8" w:rsidP="00B30221">
      <w:pPr>
        <w:rPr>
          <w:b/>
          <w:sz w:val="28"/>
          <w:szCs w:val="28"/>
          <w:u w:val="single"/>
        </w:rPr>
      </w:pPr>
      <w:r w:rsidRPr="00720FD8">
        <w:rPr>
          <w:b/>
          <w:sz w:val="28"/>
          <w:szCs w:val="28"/>
          <w:u w:val="single"/>
        </w:rPr>
        <w:lastRenderedPageBreak/>
        <w:t>Oppsummering:</w:t>
      </w:r>
    </w:p>
    <w:p w:rsidR="009D4813" w:rsidRDefault="009D4813" w:rsidP="005A4DBB">
      <w:r>
        <w:t xml:space="preserve">Resultatet slik det fremkommer av oversikten er ikke tilfredsstillende. Det er så langt kjørt en meget stram linje i selskapet og det er således ikke tilfredsstillende med en prognose på 2 mill i overforbruk for 2015. Det vises samtidig til sak 118 – 15, «Eksterne leieforhold, konsekvenser for SEKF» der selskapet </w:t>
      </w:r>
      <w:r w:rsidR="00954FF1">
        <w:t xml:space="preserve">har en beregnet underfinansiering på eksterne leieforhold på 11 mill kr for 2015. </w:t>
      </w:r>
    </w:p>
    <w:p w:rsidR="00954FF1" w:rsidRDefault="00954FF1" w:rsidP="005A4DBB">
      <w:pPr>
        <w:rPr>
          <w:b/>
          <w:sz w:val="28"/>
          <w:szCs w:val="28"/>
          <w:u w:val="single"/>
        </w:rPr>
      </w:pPr>
    </w:p>
    <w:p w:rsidR="0068300B" w:rsidRPr="00156569" w:rsidRDefault="000835D0" w:rsidP="005A4DBB">
      <w:pPr>
        <w:rPr>
          <w:b/>
          <w:sz w:val="28"/>
          <w:szCs w:val="28"/>
        </w:rPr>
      </w:pPr>
      <w:r w:rsidRPr="00156569">
        <w:rPr>
          <w:b/>
          <w:sz w:val="28"/>
          <w:szCs w:val="28"/>
          <w:u w:val="single"/>
        </w:rPr>
        <w:t>Forslag til vedtak</w:t>
      </w:r>
      <w:r w:rsidRPr="00156569">
        <w:rPr>
          <w:b/>
          <w:sz w:val="28"/>
          <w:szCs w:val="28"/>
        </w:rPr>
        <w:t>:</w:t>
      </w:r>
    </w:p>
    <w:p w:rsidR="006908BF" w:rsidRPr="00954FF1" w:rsidRDefault="00954FF1" w:rsidP="00954FF1">
      <w:pPr>
        <w:pStyle w:val="Listeavsnitt"/>
        <w:numPr>
          <w:ilvl w:val="0"/>
          <w:numId w:val="4"/>
        </w:numPr>
        <w:rPr>
          <w:rFonts w:cs="Times New Roman"/>
        </w:rPr>
      </w:pPr>
      <w:r w:rsidRPr="00954FF1">
        <w:rPr>
          <w:rFonts w:cs="Times New Roman"/>
        </w:rPr>
        <w:t>Saken tas til orientering</w:t>
      </w:r>
    </w:p>
    <w:p w:rsidR="006908BF" w:rsidRPr="006908BF" w:rsidRDefault="006908BF" w:rsidP="005A4DBB">
      <w:pPr>
        <w:rPr>
          <w:rFonts w:ascii="Times New Roman" w:hAnsi="Times New Roman" w:cs="Times New Roman"/>
          <w:sz w:val="28"/>
          <w:szCs w:val="28"/>
        </w:rPr>
      </w:pPr>
    </w:p>
    <w:p w:rsidR="006908BF" w:rsidRPr="00265A6A" w:rsidRDefault="00156569" w:rsidP="005A4DBB">
      <w:pPr>
        <w:rPr>
          <w:rFonts w:ascii="Times New Roman" w:hAnsi="Times New Roman" w:cs="Times New Roman"/>
          <w:color w:val="FF0000"/>
          <w:sz w:val="24"/>
          <w:szCs w:val="24"/>
        </w:rPr>
      </w:pPr>
      <w:r w:rsidRPr="006908BF">
        <w:rPr>
          <w:rFonts w:ascii="Times New Roman" w:hAnsi="Times New Roman" w:cs="Times New Roman"/>
          <w:sz w:val="24"/>
          <w:szCs w:val="24"/>
        </w:rPr>
        <w:t xml:space="preserve">Sandnes Eiendomsselskap KF, </w:t>
      </w:r>
      <w:r w:rsidR="00001E3F">
        <w:rPr>
          <w:rFonts w:ascii="Times New Roman" w:hAnsi="Times New Roman" w:cs="Times New Roman"/>
          <w:sz w:val="24"/>
          <w:szCs w:val="24"/>
        </w:rPr>
        <w:t>13.08.2015</w:t>
      </w:r>
    </w:p>
    <w:p w:rsidR="00487D79" w:rsidRDefault="00487D79" w:rsidP="005A4DBB">
      <w:pPr>
        <w:rPr>
          <w:rFonts w:ascii="Times New Roman" w:hAnsi="Times New Roman" w:cs="Times New Roman"/>
          <w:sz w:val="24"/>
          <w:szCs w:val="24"/>
        </w:rPr>
      </w:pPr>
    </w:p>
    <w:p w:rsidR="00156569" w:rsidRPr="006908BF" w:rsidRDefault="00156569" w:rsidP="005A4DBB">
      <w:pPr>
        <w:rPr>
          <w:rFonts w:ascii="Times New Roman" w:hAnsi="Times New Roman" w:cs="Times New Roman"/>
          <w:sz w:val="24"/>
          <w:szCs w:val="24"/>
        </w:rPr>
      </w:pPr>
      <w:r w:rsidRPr="006908BF">
        <w:rPr>
          <w:rFonts w:ascii="Times New Roman" w:hAnsi="Times New Roman" w:cs="Times New Roman"/>
          <w:sz w:val="24"/>
          <w:szCs w:val="24"/>
        </w:rPr>
        <w:t>Torbjørn Sterri</w:t>
      </w:r>
    </w:p>
    <w:p w:rsidR="00097712" w:rsidRDefault="00156569" w:rsidP="005A4DBB">
      <w:pPr>
        <w:rPr>
          <w:rFonts w:ascii="Times New Roman" w:hAnsi="Times New Roman" w:cs="Times New Roman"/>
          <w:sz w:val="24"/>
          <w:szCs w:val="24"/>
        </w:rPr>
      </w:pPr>
      <w:r w:rsidRPr="006908BF">
        <w:rPr>
          <w:rFonts w:ascii="Times New Roman" w:hAnsi="Times New Roman" w:cs="Times New Roman"/>
          <w:sz w:val="24"/>
          <w:szCs w:val="24"/>
        </w:rPr>
        <w:t>daglig leder</w:t>
      </w:r>
    </w:p>
    <w:p w:rsidR="009D4813" w:rsidRDefault="009D4813" w:rsidP="005A4DBB">
      <w:pPr>
        <w:rPr>
          <w:rFonts w:ascii="Times New Roman" w:hAnsi="Times New Roman" w:cs="Times New Roman"/>
          <w:sz w:val="24"/>
          <w:szCs w:val="24"/>
        </w:rPr>
      </w:pPr>
    </w:p>
    <w:p w:rsidR="009D4813" w:rsidRDefault="009D4813" w:rsidP="009D4813"/>
    <w:p w:rsidR="009D4813" w:rsidRDefault="009D4813" w:rsidP="009D4813"/>
    <w:p w:rsidR="009D4813" w:rsidRDefault="009D4813" w:rsidP="005A4DBB"/>
    <w:sectPr w:rsidR="009D4813" w:rsidSect="00FE0E9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26F8" w:rsidRDefault="001526F8" w:rsidP="00B30221">
      <w:pPr>
        <w:spacing w:after="0" w:line="240" w:lineRule="auto"/>
      </w:pPr>
      <w:r>
        <w:separator/>
      </w:r>
    </w:p>
  </w:endnote>
  <w:endnote w:type="continuationSeparator" w:id="0">
    <w:p w:rsidR="001526F8" w:rsidRDefault="001526F8" w:rsidP="00B302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26F8" w:rsidRDefault="001526F8" w:rsidP="00B30221">
      <w:pPr>
        <w:spacing w:after="0" w:line="240" w:lineRule="auto"/>
      </w:pPr>
      <w:r>
        <w:separator/>
      </w:r>
    </w:p>
  </w:footnote>
  <w:footnote w:type="continuationSeparator" w:id="0">
    <w:p w:rsidR="001526F8" w:rsidRDefault="001526F8" w:rsidP="00B302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0A661E"/>
    <w:multiLevelType w:val="hybridMultilevel"/>
    <w:tmpl w:val="92F430A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E6F2FFE"/>
    <w:multiLevelType w:val="hybridMultilevel"/>
    <w:tmpl w:val="A08471C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38747246"/>
    <w:multiLevelType w:val="hybridMultilevel"/>
    <w:tmpl w:val="4FE67EB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3F47589B"/>
    <w:multiLevelType w:val="hybridMultilevel"/>
    <w:tmpl w:val="D80607C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7B7"/>
    <w:rsid w:val="00001E3F"/>
    <w:rsid w:val="00075EBA"/>
    <w:rsid w:val="000835D0"/>
    <w:rsid w:val="00097712"/>
    <w:rsid w:val="000B30FA"/>
    <w:rsid w:val="000B642B"/>
    <w:rsid w:val="001269B0"/>
    <w:rsid w:val="00135883"/>
    <w:rsid w:val="001526F8"/>
    <w:rsid w:val="00156569"/>
    <w:rsid w:val="001870CE"/>
    <w:rsid w:val="00190A2F"/>
    <w:rsid w:val="00196F0B"/>
    <w:rsid w:val="001E2546"/>
    <w:rsid w:val="00206A8B"/>
    <w:rsid w:val="00263933"/>
    <w:rsid w:val="00265A6A"/>
    <w:rsid w:val="002A65B8"/>
    <w:rsid w:val="003B2054"/>
    <w:rsid w:val="003E1121"/>
    <w:rsid w:val="00425C04"/>
    <w:rsid w:val="00487D79"/>
    <w:rsid w:val="004C093A"/>
    <w:rsid w:val="004E0F9A"/>
    <w:rsid w:val="005139AE"/>
    <w:rsid w:val="005A4DBB"/>
    <w:rsid w:val="005F4323"/>
    <w:rsid w:val="00627625"/>
    <w:rsid w:val="0067672B"/>
    <w:rsid w:val="0068300B"/>
    <w:rsid w:val="006842E6"/>
    <w:rsid w:val="006908BF"/>
    <w:rsid w:val="006A6C8B"/>
    <w:rsid w:val="006D7117"/>
    <w:rsid w:val="006F078A"/>
    <w:rsid w:val="006F671A"/>
    <w:rsid w:val="006F68CE"/>
    <w:rsid w:val="00720FD8"/>
    <w:rsid w:val="00727BEA"/>
    <w:rsid w:val="00740CC7"/>
    <w:rsid w:val="00781B98"/>
    <w:rsid w:val="00793252"/>
    <w:rsid w:val="007B459C"/>
    <w:rsid w:val="007B58CC"/>
    <w:rsid w:val="007E2845"/>
    <w:rsid w:val="00847DA3"/>
    <w:rsid w:val="008668CB"/>
    <w:rsid w:val="008C1A3D"/>
    <w:rsid w:val="009043C9"/>
    <w:rsid w:val="0091686D"/>
    <w:rsid w:val="00924E79"/>
    <w:rsid w:val="009435FB"/>
    <w:rsid w:val="00943A83"/>
    <w:rsid w:val="00954FF1"/>
    <w:rsid w:val="009679B0"/>
    <w:rsid w:val="009873D1"/>
    <w:rsid w:val="009C5624"/>
    <w:rsid w:val="009D4813"/>
    <w:rsid w:val="00A27909"/>
    <w:rsid w:val="00AA60A7"/>
    <w:rsid w:val="00AA7F48"/>
    <w:rsid w:val="00AD3D7A"/>
    <w:rsid w:val="00B107B7"/>
    <w:rsid w:val="00B30221"/>
    <w:rsid w:val="00B30CC1"/>
    <w:rsid w:val="00B52A16"/>
    <w:rsid w:val="00B67FF5"/>
    <w:rsid w:val="00B7732D"/>
    <w:rsid w:val="00BB1A4C"/>
    <w:rsid w:val="00BC664E"/>
    <w:rsid w:val="00C27D11"/>
    <w:rsid w:val="00C470A3"/>
    <w:rsid w:val="00CC5B49"/>
    <w:rsid w:val="00CF4C50"/>
    <w:rsid w:val="00DA1F37"/>
    <w:rsid w:val="00DA5991"/>
    <w:rsid w:val="00DE58E6"/>
    <w:rsid w:val="00E336D5"/>
    <w:rsid w:val="00E35F1D"/>
    <w:rsid w:val="00E51D94"/>
    <w:rsid w:val="00E62959"/>
    <w:rsid w:val="00E90FB9"/>
    <w:rsid w:val="00F228E5"/>
    <w:rsid w:val="00F52164"/>
    <w:rsid w:val="00F65156"/>
    <w:rsid w:val="00FB15F3"/>
    <w:rsid w:val="00FE0E9D"/>
    <w:rsid w:val="00FE5191"/>
    <w:rsid w:val="00FF1E9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578C8E-EB73-43EB-8AFC-88346925E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206A8B"/>
    <w:pPr>
      <w:ind w:left="720"/>
      <w:contextualSpacing/>
    </w:pPr>
  </w:style>
  <w:style w:type="table" w:styleId="Tabellrutenett">
    <w:name w:val="Table Grid"/>
    <w:basedOn w:val="Vanligtabell"/>
    <w:uiPriority w:val="59"/>
    <w:rsid w:val="006842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075EBA"/>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075EBA"/>
    <w:rPr>
      <w:rFonts w:ascii="Tahoma" w:hAnsi="Tahoma" w:cs="Tahoma"/>
      <w:sz w:val="16"/>
      <w:szCs w:val="16"/>
    </w:rPr>
  </w:style>
  <w:style w:type="paragraph" w:styleId="Fotnotetekst">
    <w:name w:val="footnote text"/>
    <w:basedOn w:val="Normal"/>
    <w:link w:val="FotnotetekstTegn"/>
    <w:uiPriority w:val="99"/>
    <w:semiHidden/>
    <w:unhideWhenUsed/>
    <w:rsid w:val="00B30221"/>
    <w:pPr>
      <w:spacing w:after="0" w:line="240" w:lineRule="auto"/>
    </w:pPr>
    <w:rPr>
      <w:rFonts w:eastAsiaTheme="minorHAnsi"/>
      <w:sz w:val="20"/>
      <w:szCs w:val="20"/>
      <w:lang w:eastAsia="en-US"/>
    </w:rPr>
  </w:style>
  <w:style w:type="character" w:customStyle="1" w:styleId="FotnotetekstTegn">
    <w:name w:val="Fotnotetekst Tegn"/>
    <w:basedOn w:val="Standardskriftforavsnitt"/>
    <w:link w:val="Fotnotetekst"/>
    <w:uiPriority w:val="99"/>
    <w:semiHidden/>
    <w:rsid w:val="00B30221"/>
    <w:rPr>
      <w:rFonts w:eastAsiaTheme="minorHAnsi"/>
      <w:sz w:val="20"/>
      <w:szCs w:val="20"/>
      <w:lang w:eastAsia="en-US"/>
    </w:rPr>
  </w:style>
  <w:style w:type="character" w:styleId="Fotnotereferanse">
    <w:name w:val="footnote reference"/>
    <w:basedOn w:val="Standardskriftforavsnitt"/>
    <w:uiPriority w:val="99"/>
    <w:semiHidden/>
    <w:unhideWhenUsed/>
    <w:rsid w:val="00B3022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cid:378529b0-c7b2-4dce-a8f3-df319b94f56e@sandnes.kommune.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1ED807-96E4-4EA9-8EA9-7675E6960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580</Words>
  <Characters>3079</Characters>
  <Application>Microsoft Office Word</Application>
  <DocSecurity>0</DocSecurity>
  <Lines>25</Lines>
  <Paragraphs>7</Paragraphs>
  <ScaleCrop>false</ScaleCrop>
  <HeadingPairs>
    <vt:vector size="2" baseType="variant">
      <vt:variant>
        <vt:lpstr>Tittel</vt:lpstr>
      </vt:variant>
      <vt:variant>
        <vt:i4>1</vt:i4>
      </vt:variant>
    </vt:vector>
  </HeadingPairs>
  <TitlesOfParts>
    <vt:vector size="1" baseType="lpstr">
      <vt:lpstr/>
    </vt:vector>
  </TitlesOfParts>
  <Company>Sandnes Kommune</Company>
  <LinksUpToDate>false</LinksUpToDate>
  <CharactersWithSpaces>3652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krinmei</dc:creator>
  <cp:lastModifiedBy>Sterri, Torbjørn</cp:lastModifiedBy>
  <cp:revision>3</cp:revision>
  <cp:lastPrinted>2014-05-27T16:55:00Z</cp:lastPrinted>
  <dcterms:created xsi:type="dcterms:W3CDTF">2015-08-13T16:55:00Z</dcterms:created>
  <dcterms:modified xsi:type="dcterms:W3CDTF">2015-08-13T16:56:00Z</dcterms:modified>
</cp:coreProperties>
</file>